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2" w:type="pct"/>
        <w:tblCellMar>
          <w:left w:w="0" w:type="dxa"/>
          <w:right w:w="0" w:type="dxa"/>
        </w:tblCellMar>
        <w:tblLook w:val="04A0"/>
      </w:tblPr>
      <w:tblGrid>
        <w:gridCol w:w="16444"/>
      </w:tblGrid>
      <w:tr w:rsidR="008F5BEF" w:rsidRPr="008F5BEF" w:rsidTr="00D04D57">
        <w:tc>
          <w:tcPr>
            <w:tcW w:w="5000" w:type="pct"/>
            <w:vAlign w:val="center"/>
            <w:hideMark/>
          </w:tcPr>
          <w:p w:rsidR="008F5BEF" w:rsidRPr="008F5BEF" w:rsidRDefault="008F5BEF" w:rsidP="008F5B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ПЛАН-ГРАФИК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закупок товаров, работ, услуг для обеспечения нужд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субъекта Российской Федерации и муниципальных нужд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на </w:t>
            </w:r>
            <w:r w:rsidRPr="008F5BEF"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2017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 финансовый год </w:t>
            </w:r>
          </w:p>
        </w:tc>
      </w:tr>
    </w:tbl>
    <w:p w:rsidR="008F5BEF" w:rsidRPr="008F5BEF" w:rsidRDefault="008F5BEF" w:rsidP="00D04D57">
      <w:pPr>
        <w:spacing w:after="240" w:line="240" w:lineRule="auto"/>
        <w:ind w:right="-882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47"/>
        <w:gridCol w:w="1542"/>
        <w:gridCol w:w="592"/>
        <w:gridCol w:w="801"/>
        <w:gridCol w:w="38"/>
      </w:tblGrid>
      <w:tr w:rsidR="008F5BEF" w:rsidRPr="008F5BEF" w:rsidTr="008F5BEF">
        <w:trPr>
          <w:gridAfter w:val="1"/>
        </w:trPr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Коды </w:t>
            </w:r>
          </w:p>
        </w:tc>
      </w:tr>
      <w:tr w:rsidR="008F5BEF" w:rsidRPr="008F5BEF" w:rsidTr="008F5BEF">
        <w:trPr>
          <w:gridAfter w:val="1"/>
        </w:trPr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</w:tr>
      <w:tr w:rsidR="008F5BEF" w:rsidRPr="008F5BEF" w:rsidTr="008F5BEF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55927008</w:t>
            </w:r>
          </w:p>
        </w:tc>
      </w:tr>
      <w:tr w:rsidR="008F5BEF" w:rsidRPr="008F5BEF" w:rsidTr="008F5BEF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2415001848</w:t>
            </w:r>
          </w:p>
        </w:tc>
      </w:tr>
      <w:tr w:rsidR="008F5BEF" w:rsidRPr="008F5BEF" w:rsidTr="008F5BEF">
        <w:trPr>
          <w:gridAfter w:val="1"/>
          <w:trHeight w:val="150"/>
        </w:trPr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241501001</w:t>
            </w: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 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АДМИНИСТРАЦИЯ ГОРОДА ИЛАНСКИЙ ИЛАНСКОГО РАЙОНА КРАСНОЯРСКОГО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</w:tr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 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04618101001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 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город Иланский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 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Российская Федерация, 663800, Красноярский край, Иланский г, </w:t>
            </w:r>
            <w:proofErr w:type="gramStart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УЛ</w:t>
            </w:r>
            <w:proofErr w:type="gramEnd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 ЛЕНИНА, 67, 8(39173)21161, ilanskgorod@rambler.ru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 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АДМИНИСТРАЦИЯ ГОРОДА ИЛАНСКИЙ ИЛАНСКОГО РАЙОНА КРАСНОЯРСКОГО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04618101001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 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Российская Федерация, 663800, Красноярский край, Иланский г, </w:t>
            </w:r>
            <w:proofErr w:type="gramStart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УЛ</w:t>
            </w:r>
            <w:proofErr w:type="gramEnd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 ЛЕНИНА, 67, 7-39173-21265, ilanskgorod@rambler.ru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справочно</w:t>
            </w:r>
            <w:proofErr w:type="spellEnd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7252.90000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BEF" w:rsidRPr="008F5BEF" w:rsidRDefault="008F5BEF" w:rsidP="008F5BEF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"/>
        <w:gridCol w:w="1386"/>
        <w:gridCol w:w="779"/>
        <w:gridCol w:w="779"/>
        <w:gridCol w:w="605"/>
        <w:gridCol w:w="462"/>
        <w:gridCol w:w="479"/>
        <w:gridCol w:w="261"/>
        <w:gridCol w:w="261"/>
        <w:gridCol w:w="526"/>
        <w:gridCol w:w="211"/>
        <w:gridCol w:w="613"/>
        <w:gridCol w:w="210"/>
        <w:gridCol w:w="328"/>
        <w:gridCol w:w="204"/>
        <w:gridCol w:w="175"/>
        <w:gridCol w:w="526"/>
        <w:gridCol w:w="575"/>
        <w:gridCol w:w="262"/>
        <w:gridCol w:w="448"/>
        <w:gridCol w:w="575"/>
        <w:gridCol w:w="526"/>
        <w:gridCol w:w="517"/>
        <w:gridCol w:w="606"/>
        <w:gridCol w:w="724"/>
        <w:gridCol w:w="578"/>
        <w:gridCol w:w="643"/>
        <w:gridCol w:w="574"/>
        <w:gridCol w:w="594"/>
        <w:gridCol w:w="554"/>
        <w:gridCol w:w="657"/>
        <w:gridCol w:w="668"/>
      </w:tblGrid>
      <w:tr w:rsidR="008F5BEF" w:rsidRPr="008F5BEF" w:rsidTr="00D04D57"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п</w:t>
            </w:r>
            <w:proofErr w:type="spellEnd"/>
            <w:proofErr w:type="gramEnd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/</w:t>
            </w:r>
            <w:proofErr w:type="spellStart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п</w:t>
            </w:r>
            <w:proofErr w:type="spellEnd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proofErr w:type="gramStart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Преимущества, предоставля</w:t>
            </w: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Осуществление закупки у субъектов малого предпринима</w:t>
            </w: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softHyphen/>
              <w:t>тельства и социально ориентирова</w:t>
            </w: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Уполномоченный орган (учреждение) </w:t>
            </w:r>
          </w:p>
        </w:tc>
        <w:tc>
          <w:tcPr>
            <w:tcW w:w="448" w:type="pct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Организатор совместного конкурса или аукциона </w:t>
            </w:r>
          </w:p>
        </w:tc>
      </w:tr>
      <w:tr w:rsidR="008F5BEF" w:rsidRPr="008F5BEF" w:rsidTr="00D04D57"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наимено</w:t>
            </w: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наимено</w:t>
            </w: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</w:tr>
      <w:tr w:rsidR="008F5BEF" w:rsidRPr="00D04D57" w:rsidTr="00D04D57"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31</w:t>
            </w: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32</w:t>
            </w: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173241500184824150100100010013513244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3087.52259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3087.52259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173241500184824150100100020016110242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>закупок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 xml:space="preserve">Изменение закупки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>изменение суммы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173241500184824150100100020026110242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предоставлению внутризоновых, междугородних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72.00000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72.00000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173241500184824150100100030023530244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Энергия тепловая, отпущенная котельными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proofErr w:type="spell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Гигакалория</w:t>
            </w:r>
            <w:proofErr w:type="spell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173241500184824150100100050058610244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Услуги больниц прочие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68.10000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68.10000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173241500184824150100100060061920244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435.00000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435.00000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proofErr w:type="spell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Литр;^кубический</w:t>
            </w:r>
            <w:proofErr w:type="spell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4.35000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43.50000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в форме банковской гарантии,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согласно реестра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банков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 xml:space="preserve">Изменение закупки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>Увеличение стоимости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173241500184824150100100070074532244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Услуги по розничной торговле прочими автомобильными деталями, узлами и принадлежностями в специализированных магазинах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185.20000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185.20000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173241500184824150100100080081712244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Бумага для печати прочая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72.80000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72.80000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173241500184824150100100090082620242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Машины вычислительные электронные цифровые, поставляемые в виде систем для автоматической обработки данных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131.20000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131.20000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 xml:space="preserve">Отмена закупки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>согласование сторон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173241500184824150100100100104776244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>№ 44-ФЗ)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173241500184824150100100110114778244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Услуги по розничной торговле непродовольственными товарами, не включенными в другие группировки, в специализированных магазинах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173241500184824150100100120018110244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Услуги по обслуживанию помещений комплексные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479.50000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479.50000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173241500184824150100100170012910244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Средства транспортные с двигателем с искровым зажиганием, с рабочим объемом цилиндров более 150 см3, новые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1153.12885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1153.12885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115.31289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173241500184824150100100180019329244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Проведение праздничного мероприятия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173241500184824150100100190016391244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информационных агентств, предоставляемые газетам и периодическим изданиям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информационных агентств, предоставляемые газетам и периодическим изданиям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173241500184824150100100200016209242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222.06374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222.06374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11.10319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173241500184824150100100210012620242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131.20000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131.20000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1980.49575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1980.49575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173241500184824150100113000020024242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750.48626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750.48626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173241500184824150100114000010000244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1230.00949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1230.00949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</w:tr>
      <w:tr w:rsidR="008F5BEF" w:rsidRPr="008F5BEF" w:rsidTr="00D04D57">
        <w:tc>
          <w:tcPr>
            <w:tcW w:w="0" w:type="auto"/>
            <w:gridSpan w:val="4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8600.01093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8600.01093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</w:tr>
      <w:tr w:rsidR="008F5BEF" w:rsidRPr="008F5BEF" w:rsidTr="00D04D57">
        <w:tc>
          <w:tcPr>
            <w:tcW w:w="0" w:type="auto"/>
            <w:gridSpan w:val="4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792.30000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542.30000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</w:tr>
      <w:tr w:rsidR="008F5BEF" w:rsidRPr="008F5BEF" w:rsidTr="00D04D57">
        <w:tc>
          <w:tcPr>
            <w:tcW w:w="0" w:type="auto"/>
            <w:gridSpan w:val="4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1849.39259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906.60000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  <w:tc>
          <w:tcPr>
            <w:tcW w:w="448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X</w:t>
            </w:r>
          </w:p>
        </w:tc>
      </w:tr>
    </w:tbl>
    <w:p w:rsidR="008F5BEF" w:rsidRPr="008F5BEF" w:rsidRDefault="008F5BEF" w:rsidP="008F5BEF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  <w:r w:rsidRPr="008F5BEF">
        <w:rPr>
          <w:rFonts w:ascii="Tahoma" w:eastAsia="Times New Roman" w:hAnsi="Tahoma" w:cs="Tahoma"/>
          <w:sz w:val="12"/>
          <w:szCs w:val="12"/>
        </w:rPr>
        <w:br/>
      </w:r>
      <w:r w:rsidRPr="008F5BEF">
        <w:rPr>
          <w:rFonts w:ascii="Tahoma" w:eastAsia="Times New Roman" w:hAnsi="Tahoma" w:cs="Tahoma"/>
          <w:sz w:val="12"/>
          <w:szCs w:val="12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8"/>
        <w:gridCol w:w="770"/>
        <w:gridCol w:w="3083"/>
        <w:gridCol w:w="770"/>
        <w:gridCol w:w="3083"/>
        <w:gridCol w:w="6"/>
      </w:tblGrid>
      <w:tr w:rsidR="008F5BEF" w:rsidRPr="008F5BEF" w:rsidTr="008F5BEF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Максаков Владимир Владимирович, Глава города Иланский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07.03.2017</w:t>
            </w:r>
          </w:p>
        </w:tc>
      </w:tr>
      <w:tr w:rsidR="008F5BEF" w:rsidRPr="008F5BEF" w:rsidTr="008F5BEF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(дата утверждения) </w:t>
            </w:r>
          </w:p>
        </w:tc>
      </w:tr>
      <w:tr w:rsidR="008F5BEF" w:rsidRPr="008F5BEF" w:rsidTr="008F5BE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Лакиза Галина Филипповна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М.П. </w:t>
            </w:r>
          </w:p>
        </w:tc>
      </w:tr>
      <w:tr w:rsidR="008F5BEF" w:rsidRPr="008F5BEF" w:rsidTr="008F5BEF">
        <w:tc>
          <w:tcPr>
            <w:tcW w:w="25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BEF" w:rsidRPr="008F5BEF" w:rsidRDefault="008F5BEF" w:rsidP="008F5BEF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  <w:r w:rsidRPr="008F5BEF">
        <w:rPr>
          <w:rFonts w:ascii="Tahoma" w:eastAsia="Times New Roman" w:hAnsi="Tahoma" w:cs="Tahoma"/>
          <w:sz w:val="12"/>
          <w:szCs w:val="12"/>
        </w:rPr>
        <w:br/>
      </w:r>
      <w:r w:rsidRPr="008F5BEF">
        <w:rPr>
          <w:rFonts w:ascii="Tahoma" w:eastAsia="Times New Roman" w:hAnsi="Tahoma" w:cs="Tahoma"/>
          <w:sz w:val="12"/>
          <w:szCs w:val="12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8F5BEF" w:rsidRPr="008F5BEF" w:rsidTr="008F5BEF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ФОРМА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F5BEF" w:rsidRPr="008F5BEF" w:rsidRDefault="008F5BEF" w:rsidP="008F5BEF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70"/>
        <w:gridCol w:w="2570"/>
        <w:gridCol w:w="1715"/>
        <w:gridCol w:w="2570"/>
      </w:tblGrid>
      <w:tr w:rsidR="008F5BEF" w:rsidRPr="008F5BEF" w:rsidTr="008F5BEF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На подготовке </w:t>
            </w:r>
          </w:p>
        </w:tc>
      </w:tr>
      <w:tr w:rsidR="008F5BEF" w:rsidRPr="008F5BEF" w:rsidTr="008F5BEF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справочно</w:t>
            </w:r>
            <w:proofErr w:type="spellEnd"/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) 7252.90000 тыс. рублей </w:t>
            </w:r>
          </w:p>
        </w:tc>
        <w:tc>
          <w:tcPr>
            <w:tcW w:w="7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8F5BEF" w:rsidRPr="008F5BEF" w:rsidRDefault="008F5BEF" w:rsidP="008F5BEF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"/>
        <w:gridCol w:w="1386"/>
        <w:gridCol w:w="1364"/>
        <w:gridCol w:w="1111"/>
        <w:gridCol w:w="1371"/>
        <w:gridCol w:w="3652"/>
        <w:gridCol w:w="2061"/>
        <w:gridCol w:w="726"/>
        <w:gridCol w:w="2614"/>
        <w:gridCol w:w="2010"/>
      </w:tblGrid>
      <w:tr w:rsidR="008F5BEF" w:rsidRPr="008F5BEF" w:rsidTr="00D04D57"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п</w:t>
            </w:r>
            <w:proofErr w:type="spellEnd"/>
            <w:proofErr w:type="gramEnd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/</w:t>
            </w:r>
            <w:proofErr w:type="spellStart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п</w:t>
            </w:r>
            <w:proofErr w:type="spellEnd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proofErr w:type="gramStart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611" w:type="pct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b/>
                <w:bCs/>
                <w:sz w:val="7"/>
                <w:szCs w:val="7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9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</w:t>
            </w: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173241500184824150100100010013513244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3087.52259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Применять иной способ закупки невозможно и нецелесообразно по следующим основаниям: – энергоснабжающая организация поставщик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Единственный поставщик согласно п. 29 ч.1 ст.93 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173241500184824150100100020016110242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Тарифный метод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ошибочно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>Р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уководствуясь положениями статьи 22 Закона от 05.04.2013г №44-ФЗ, заказчик принял решение для определения и обоснования НМЦК применить затратный метод. Основание: контракт на оказание услуг электросвязи заключается с единственным исполнителем по свободным (нерегулируемым) ценам.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В соответствии с правом, предоставленным пунктом 1 части 1 статьи 93 Закона №44-ФЗ, контракт заключается с единственным поставщиком, на оказание услуг электросвязи, которая относится к сфере деятельности субъектов естественных монополий. 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173241500184824150100100020026110242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72.00000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Согласно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регулируемых тарифов на услуги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Единственный поставщик п. 1 ч.1 ст.93 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173241500184824150100100030023530244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Руководствуясь положениями статьи 22 Закона от 05.04.2013г №44-ФЗ, ФЗ от 27.07.2010 №190-ФЗ «О теплоснабжении», заказчик принял решение для определения и обоснования НМЦК применить тарифный метод. Основание: контракт на поставку тепловой энергии заключается с «Энергоснабжающей организацией». Расчет НМЦК приведен в Приложении №1.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В соответствии с правом, предоставленным пунктом 1 части 8 статьи 93 Закона №44-ФЗ, контракт заключается с единственным поставщиком, на оказание услуг теплоснабжения,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которая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относится к сфере деятельности субъектов естественных монополий.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173241500184824150100100050058610244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68.10000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По результатам изучения информации о рыночных ценах на товары,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планируемые к закупке, заказчиком принято решение об определении НМЦК в размере 68,1 тыс. рублей. Обоснование НМЦК приведено в Приложении №3.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173241500184824150100100060061920244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435.00000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По результатам изучения информации о рыночных ценах на товары, планируемые к закупке, заказчиком принято решение об определении НМЦК в размере 435000,00.(Четыреста тридцать пять тысяч рублей 00 копеек)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 согласно ст.59 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173241500184824150100100070074532244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185.20000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По результатам изучения информации о рыночных ценах на товары, планируемые к закупке, заказчиком принято решение об определении НМЦК в размере 185,2тыс. рублей. Обоснование НМЦК приведено в Приложении №3.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Короткие сроки проведения процедуры, без дополнительных требований к заявкам и участникам. При этом соблюдены условия части 2 статьи 72 Закона №44-ФЗ. 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173241500184824150100100080081712244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72.80000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По результатам изучения информации о рыночных ценах на товары, планируемые к закупке, заказчиком принято решение об определении НМЦК в размере 72,8 тыс. рублей. Обоснование НМЦК приведено в Приложении №3.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173241500184824150100100090082620242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131.20000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По результатам изучения информации о рыночных ценах на товары, планируемые к закупке, заказчиком принято решение об определении НМЦК в размере 131,2 тыс. рублей. Обоснование НМЦК приведено в Приложении №3.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173241500184824150100100100104776244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По результатам изучения информации о рыночных ценах на товары, планируемые к закупке, заказчиком принято решение об определении НМЦК в размере50,00тыс. рублей. Обоснование НМЦК приведено в Приложении №3.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173241500184824150100100110114778244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По результатам изучения информации о рыночных ценах на товары, планируемые к закупке, заказчиком принято решение об определении НМЦК в размере 35,00 тыс. рублей. Обоснование НМЦК приведено в Приложении №3.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№44-ФЗ.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173241500184824150100100120018110244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479.50000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Руководствуясь положениями статьи 22 Закона от 05.04.2013г №44-ФЗ, заказчик принял решение для определения и обоснования НМЦК применить затратный метод. Основание: контракт на услуги заключается с единственным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 xml:space="preserve">поставщиком. Обоснование НМЦК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приведены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в Расчете на 2017 год.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 xml:space="preserve">Закупка у единственного поставщика (подрядчика,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 xml:space="preserve">Применять иной способ закупки невозможно и нецелесообразно по следующим основаниям: – помещение передано заказчику в безвозмездное пользование. В здании, где расположено помещение заказчика, есть еще нежилые помещения. Данными помещениями пользуются другие лица, и им уже 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 xml:space="preserve">оказываются услуги по содержанию и обслуживанию здания и гаража, коммунальные услуги. В соответствии с правом, предоставленным пунктом 23 части 1 статьи 93 Закона №44-ФЗ, контракт заключается с единственным поставщиком. 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173241500184824150100100170012910244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1153.12885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По результатам изучения информации о рыночных ценах на товары, услуги,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работы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планируемые к закупке, заказчиком принято решение об определении НМЦК в размере 1153128,85 (Один миллион сто пятьдесят три тысячи сто двадцать восемь рублей 85 копеек).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 согласно ст. 59 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173241500184824150100100180019329244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По результатам изучения информации о рыночных ценах на товары, услуги,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работы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планируемые к закупке, заказчиком принято решение об определении НМЦК в размере 10000,00 (Сто тысяч рублей 00 коп).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173241500184824150100100190016391244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информационных агентств, предоставляемые газетам и периодическим изданиям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По результатам изучения информации о рыночных ценах на товары, услуги,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работы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планируемые к закупке, заказчиком принято решение об определении НМЦК в размере 150000,00 (Сто пятьдесят тысяч рублей 00 коп).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173241500184824150100100200016209242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222.06374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По результатам изучения информации о рыночных ценах на товары, услуги, 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работы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планируемые к закупке, заказчиком принято решение об определении НМЦК в размере 150000,00 (Сто пятьдесят тысяч рублей 00 коп).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Электронный аукцион согласно ст. 59 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173241500184824150100100210012620242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131.20000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По результатам изучения информации о рыночных ценах на товары, услуги</w:t>
            </w:r>
            <w:proofErr w:type="gramStart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,</w:t>
            </w:r>
            <w:proofErr w:type="gramEnd"/>
            <w:r w:rsidRPr="008F5BEF">
              <w:rPr>
                <w:rFonts w:ascii="Tahoma" w:eastAsia="Times New Roman" w:hAnsi="Tahoma" w:cs="Tahoma"/>
                <w:sz w:val="7"/>
                <w:szCs w:val="7"/>
              </w:rPr>
              <w:t xml:space="preserve"> работы планируемые к закупке, заказчиком принято решение об определении НМЦК в размере 131200,00 (Сто тридцать одна тысяча двести рублей 00 коп). 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Короткие сроки проведения процедуры, без дополнительных требований к заявкам и участникам. При этом соблюдены условия части 2 статьи 72 Закона №44-ФЗ</w:t>
            </w: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  <w:tr w:rsidR="008F5BEF" w:rsidRPr="008F5BEF" w:rsidTr="00D04D57"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173241500184824150100113000020024242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>173241500184824150100114000010000244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  <w:r w:rsidRPr="008F5BEF">
              <w:rPr>
                <w:rFonts w:ascii="Tahoma" w:eastAsia="Times New Roman" w:hAnsi="Tahoma" w:cs="Tahoma"/>
                <w:sz w:val="7"/>
                <w:szCs w:val="7"/>
              </w:rPr>
              <w:t>750.48626</w:t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</w:r>
            <w:r w:rsidRPr="008F5BEF">
              <w:rPr>
                <w:rFonts w:ascii="Tahoma" w:eastAsia="Times New Roman" w:hAnsi="Tahoma" w:cs="Tahoma"/>
                <w:sz w:val="7"/>
                <w:szCs w:val="7"/>
              </w:rPr>
              <w:br/>
              <w:t>1230.00949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  <w:tc>
          <w:tcPr>
            <w:tcW w:w="611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</w:rPr>
            </w:pPr>
          </w:p>
        </w:tc>
      </w:tr>
    </w:tbl>
    <w:p w:rsidR="008F5BEF" w:rsidRPr="008F5BEF" w:rsidRDefault="008F5BEF" w:rsidP="008F5BEF">
      <w:pPr>
        <w:spacing w:after="240" w:line="240" w:lineRule="auto"/>
        <w:rPr>
          <w:rFonts w:ascii="Tahoma" w:eastAsia="Times New Roman" w:hAnsi="Tahoma" w:cs="Tahoma"/>
          <w:sz w:val="12"/>
          <w:szCs w:val="12"/>
        </w:rPr>
      </w:pPr>
      <w:r w:rsidRPr="008F5BEF">
        <w:rPr>
          <w:rFonts w:ascii="Tahoma" w:eastAsia="Times New Roman" w:hAnsi="Tahoma" w:cs="Tahoma"/>
          <w:sz w:val="12"/>
          <w:szCs w:val="12"/>
        </w:rPr>
        <w:br/>
      </w:r>
      <w:r w:rsidRPr="008F5BEF">
        <w:rPr>
          <w:rFonts w:ascii="Tahoma" w:eastAsia="Times New Roman" w:hAnsi="Tahoma" w:cs="Tahoma"/>
          <w:sz w:val="12"/>
          <w:szCs w:val="12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8"/>
        <w:gridCol w:w="770"/>
        <w:gridCol w:w="3083"/>
        <w:gridCol w:w="770"/>
        <w:gridCol w:w="3083"/>
        <w:gridCol w:w="6"/>
      </w:tblGrid>
      <w:tr w:rsidR="008F5BEF" w:rsidRPr="008F5BEF" w:rsidTr="008F5BEF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Максаков Владимир Владимирович, Глава города Иланский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07.03.2017</w:t>
            </w:r>
          </w:p>
        </w:tc>
      </w:tr>
      <w:tr w:rsidR="008F5BEF" w:rsidRPr="008F5BEF" w:rsidTr="008F5BEF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(дата утверждения) </w:t>
            </w:r>
          </w:p>
        </w:tc>
      </w:tr>
      <w:tr w:rsidR="008F5BEF" w:rsidRPr="008F5BEF" w:rsidTr="008F5BE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BEF" w:rsidRPr="008F5BEF" w:rsidTr="008F5BEF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Лакиза Галина Филипповна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М.П. </w:t>
            </w:r>
          </w:p>
        </w:tc>
      </w:tr>
      <w:tr w:rsidR="008F5BEF" w:rsidRPr="008F5BEF" w:rsidTr="008F5BEF">
        <w:tc>
          <w:tcPr>
            <w:tcW w:w="25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8F5BEF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5BEF" w:rsidRPr="008F5BEF" w:rsidRDefault="008F5BEF" w:rsidP="008F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F4E" w:rsidRPr="008F5BEF" w:rsidRDefault="00676F4E" w:rsidP="008F5BEF"/>
    <w:sectPr w:rsidR="00676F4E" w:rsidRPr="008F5BEF" w:rsidSect="00E57F72">
      <w:pgSz w:w="16838" w:h="11906" w:orient="landscape"/>
      <w:pgMar w:top="568" w:right="1134" w:bottom="156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B11"/>
    <w:rsid w:val="002810FD"/>
    <w:rsid w:val="0028320B"/>
    <w:rsid w:val="00676F4E"/>
    <w:rsid w:val="00872B11"/>
    <w:rsid w:val="008F5BEF"/>
    <w:rsid w:val="00C868A4"/>
    <w:rsid w:val="00D04D57"/>
    <w:rsid w:val="00E5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A4"/>
  </w:style>
  <w:style w:type="paragraph" w:styleId="1">
    <w:name w:val="heading 1"/>
    <w:basedOn w:val="a"/>
    <w:link w:val="10"/>
    <w:uiPriority w:val="9"/>
    <w:qFormat/>
    <w:rsid w:val="0087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872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B11"/>
    <w:rPr>
      <w:rFonts w:ascii="Times New Roman" w:eastAsia="Times New Roman" w:hAnsi="Times New Roman" w:cs="Times New Roman"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72B11"/>
    <w:rPr>
      <w:rFonts w:ascii="Times New Roman" w:eastAsia="Times New Roman" w:hAnsi="Times New Roman" w:cs="Times New Roman"/>
      <w:b/>
      <w:bCs/>
      <w:color w:val="383838"/>
      <w:sz w:val="12"/>
      <w:szCs w:val="12"/>
    </w:rPr>
  </w:style>
  <w:style w:type="character" w:styleId="a3">
    <w:name w:val="Hyperlink"/>
    <w:basedOn w:val="a0"/>
    <w:uiPriority w:val="99"/>
    <w:semiHidden/>
    <w:unhideWhenUsed/>
    <w:rsid w:val="00872B1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2B1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72B11"/>
    <w:rPr>
      <w:b/>
      <w:bCs/>
    </w:rPr>
  </w:style>
  <w:style w:type="paragraph" w:styleId="a6">
    <w:name w:val="Normal (Web)"/>
    <w:basedOn w:val="a"/>
    <w:uiPriority w:val="99"/>
    <w:semiHidden/>
    <w:unhideWhenUsed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872B1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uterwrapper">
    <w:name w:val="outerwrapper"/>
    <w:basedOn w:val="a"/>
    <w:rsid w:val="00872B1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872B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872B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872B11"/>
    <w:pPr>
      <w:shd w:val="clear" w:color="auto" w:fill="FAFAFA"/>
      <w:spacing w:after="100" w:afterAutospacing="1" w:line="240" w:lineRule="auto"/>
      <w:ind w:left="-30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872B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872B11"/>
    <w:pPr>
      <w:spacing w:before="100" w:beforeAutospacing="1" w:after="100" w:afterAutospacing="1" w:line="240" w:lineRule="auto"/>
      <w:ind w:left="2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872B1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872B11"/>
    <w:pPr>
      <w:spacing w:before="100" w:beforeAutospacing="1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872B11"/>
    <w:pPr>
      <w:spacing w:before="100" w:beforeAutospacing="1" w:after="122" w:line="240" w:lineRule="auto"/>
    </w:pPr>
    <w:rPr>
      <w:rFonts w:ascii="Times New Roman" w:eastAsia="Times New Roman" w:hAnsi="Times New Roman" w:cs="Times New Roman"/>
      <w:b/>
      <w:bCs/>
      <w:color w:val="0075C5"/>
      <w:sz w:val="12"/>
      <w:szCs w:val="12"/>
    </w:rPr>
  </w:style>
  <w:style w:type="paragraph" w:customStyle="1" w:styleId="extendsearchbox">
    <w:name w:val="extendsearch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872B11"/>
    <w:pPr>
      <w:spacing w:before="13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872B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872B11"/>
    <w:pPr>
      <w:pBdr>
        <w:top w:val="single" w:sz="4" w:space="2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872B11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872B11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872B11"/>
    <w:pPr>
      <w:spacing w:before="100" w:beforeAutospacing="1" w:after="26" w:line="32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872B11"/>
    <w:pPr>
      <w:spacing w:before="100" w:beforeAutospacing="1" w:after="26" w:line="323" w:lineRule="atLeast"/>
    </w:pPr>
    <w:rPr>
      <w:rFonts w:ascii="Times New Roman" w:eastAsia="Times New Roman" w:hAnsi="Times New Roman" w:cs="Times New Roman"/>
      <w:color w:val="FEFEFE"/>
      <w:sz w:val="13"/>
      <w:szCs w:val="13"/>
    </w:rPr>
  </w:style>
  <w:style w:type="paragraph" w:customStyle="1" w:styleId="leftcolboxcontent">
    <w:name w:val="leftcolboxcontent"/>
    <w:basedOn w:val="a"/>
    <w:rsid w:val="00872B11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4"/>
      <w:szCs w:val="14"/>
    </w:rPr>
  </w:style>
  <w:style w:type="paragraph" w:customStyle="1" w:styleId="download">
    <w:name w:val="downloa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4"/>
      <w:szCs w:val="14"/>
    </w:rPr>
  </w:style>
  <w:style w:type="paragraph" w:customStyle="1" w:styleId="tablenews">
    <w:name w:val="tablenews"/>
    <w:basedOn w:val="a"/>
    <w:rsid w:val="00872B11"/>
    <w:pPr>
      <w:spacing w:before="131" w:after="2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872B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872B11"/>
    <w:pPr>
      <w:spacing w:before="100" w:beforeAutospacing="1" w:after="21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872B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872B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872B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872B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872B11"/>
    <w:pPr>
      <w:pBdr>
        <w:top w:val="single" w:sz="2" w:space="0" w:color="D6E4EC"/>
        <w:left w:val="single" w:sz="4" w:space="0" w:color="D6E4EC"/>
        <w:bottom w:val="single" w:sz="4" w:space="9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872B11"/>
    <w:pPr>
      <w:spacing w:before="100" w:beforeAutospacing="1" w:after="100" w:afterAutospacing="1" w:line="157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1"/>
      <w:szCs w:val="11"/>
    </w:rPr>
  </w:style>
  <w:style w:type="paragraph" w:customStyle="1" w:styleId="capchaimg">
    <w:name w:val="capchaimg"/>
    <w:basedOn w:val="a"/>
    <w:rsid w:val="00872B11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2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872B11"/>
    <w:pPr>
      <w:spacing w:after="0" w:line="240" w:lineRule="auto"/>
      <w:ind w:left="1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872B11"/>
    <w:pPr>
      <w:shd w:val="clear" w:color="auto" w:fill="E5EFF6"/>
      <w:spacing w:before="100" w:beforeAutospacing="1" w:after="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872B11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87" w:after="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872B11"/>
    <w:pPr>
      <w:pBdr>
        <w:top w:val="single" w:sz="4" w:space="2" w:color="44A9D3"/>
        <w:bottom w:val="single" w:sz="4" w:space="2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872B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872B11"/>
  </w:style>
  <w:style w:type="character" w:customStyle="1" w:styleId="dynatree-vline">
    <w:name w:val="dynatree-vline"/>
    <w:basedOn w:val="a0"/>
    <w:rsid w:val="00872B11"/>
  </w:style>
  <w:style w:type="character" w:customStyle="1" w:styleId="dynatree-connector">
    <w:name w:val="dynatree-connector"/>
    <w:basedOn w:val="a0"/>
    <w:rsid w:val="00872B11"/>
  </w:style>
  <w:style w:type="character" w:customStyle="1" w:styleId="dynatree-expander">
    <w:name w:val="dynatree-expander"/>
    <w:basedOn w:val="a0"/>
    <w:rsid w:val="00872B11"/>
  </w:style>
  <w:style w:type="character" w:customStyle="1" w:styleId="dynatree-icon">
    <w:name w:val="dynatree-icon"/>
    <w:basedOn w:val="a0"/>
    <w:rsid w:val="00872B11"/>
  </w:style>
  <w:style w:type="character" w:customStyle="1" w:styleId="dynatree-checkbox">
    <w:name w:val="dynatree-checkbox"/>
    <w:basedOn w:val="a0"/>
    <w:rsid w:val="00872B11"/>
  </w:style>
  <w:style w:type="character" w:customStyle="1" w:styleId="dynatree-radio">
    <w:name w:val="dynatree-radio"/>
    <w:basedOn w:val="a0"/>
    <w:rsid w:val="00872B11"/>
  </w:style>
  <w:style w:type="character" w:customStyle="1" w:styleId="dynatree-drag-helper-img">
    <w:name w:val="dynatree-drag-helper-img"/>
    <w:basedOn w:val="a0"/>
    <w:rsid w:val="00872B11"/>
  </w:style>
  <w:style w:type="character" w:customStyle="1" w:styleId="dynatree-drag-source">
    <w:name w:val="dynatree-drag-source"/>
    <w:basedOn w:val="a0"/>
    <w:rsid w:val="00872B11"/>
    <w:rPr>
      <w:shd w:val="clear" w:color="auto" w:fill="E0E0E0"/>
    </w:rPr>
  </w:style>
  <w:style w:type="paragraph" w:customStyle="1" w:styleId="mainlink1">
    <w:name w:val="mainlink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872B11"/>
    <w:pPr>
      <w:spacing w:before="5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872B11"/>
    <w:pPr>
      <w:spacing w:before="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872B11"/>
    <w:pPr>
      <w:spacing w:before="100" w:beforeAutospacing="1" w:after="100" w:afterAutospacing="1" w:line="157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872B11"/>
    <w:pPr>
      <w:spacing w:before="100" w:beforeAutospacing="1" w:after="100" w:afterAutospacing="1" w:line="157" w:lineRule="atLeast"/>
    </w:pPr>
    <w:rPr>
      <w:rFonts w:ascii="Times New Roman" w:eastAsia="Times New Roman" w:hAnsi="Times New Roman" w:cs="Times New Roman"/>
      <w:color w:val="A17D1C"/>
      <w:sz w:val="26"/>
      <w:szCs w:val="26"/>
    </w:rPr>
  </w:style>
  <w:style w:type="paragraph" w:customStyle="1" w:styleId="law1">
    <w:name w:val="law1"/>
    <w:basedOn w:val="a"/>
    <w:rsid w:val="00872B11"/>
    <w:pPr>
      <w:spacing w:before="100" w:beforeAutospacing="1" w:after="100" w:afterAutospacing="1" w:line="157" w:lineRule="atLeast"/>
    </w:pPr>
    <w:rPr>
      <w:rFonts w:ascii="Times New Roman" w:eastAsia="Times New Roman" w:hAnsi="Times New Roman" w:cs="Times New Roman"/>
      <w:color w:val="A17D1C"/>
      <w:sz w:val="21"/>
      <w:szCs w:val="21"/>
    </w:rPr>
  </w:style>
  <w:style w:type="paragraph" w:customStyle="1" w:styleId="ulright3">
    <w:name w:val="ulright3"/>
    <w:basedOn w:val="a"/>
    <w:rsid w:val="00872B11"/>
    <w:pPr>
      <w:spacing w:before="100" w:beforeAutospacing="1" w:after="100" w:afterAutospacing="1" w:line="157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872B11"/>
    <w:pPr>
      <w:pBdr>
        <w:left w:val="single" w:sz="4" w:space="7" w:color="549AD6"/>
      </w:pBdr>
      <w:spacing w:before="100" w:beforeAutospacing="1" w:after="100" w:afterAutospacing="1" w:line="1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872B11"/>
    <w:pPr>
      <w:pBdr>
        <w:right w:val="single" w:sz="4" w:space="7" w:color="7BB6E2"/>
      </w:pBd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872B11"/>
    <w:pPr>
      <w:pBdr>
        <w:right w:val="single" w:sz="4" w:space="7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872B11"/>
    <w:pPr>
      <w:pBdr>
        <w:left w:val="single" w:sz="4" w:space="9" w:color="426E98"/>
        <w:right w:val="single" w:sz="4" w:space="7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872B11"/>
    <w:pPr>
      <w:pBdr>
        <w:left w:val="single" w:sz="4" w:space="9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872B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872B11"/>
    <w:pPr>
      <w:spacing w:before="100" w:beforeAutospacing="1" w:after="100" w:afterAutospacing="1" w:line="140" w:lineRule="atLeast"/>
      <w:ind w:right="44"/>
      <w:textAlignment w:val="top"/>
    </w:pPr>
    <w:rPr>
      <w:rFonts w:ascii="Times New Roman" w:eastAsia="Times New Roman" w:hAnsi="Times New Roman" w:cs="Times New Roman"/>
      <w:color w:val="0075C5"/>
      <w:sz w:val="11"/>
      <w:szCs w:val="11"/>
    </w:rPr>
  </w:style>
  <w:style w:type="paragraph" w:customStyle="1" w:styleId="catalogtabs1">
    <w:name w:val="catalogtabs1"/>
    <w:basedOn w:val="a"/>
    <w:rsid w:val="00872B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872B11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872B1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872B11"/>
    <w:pPr>
      <w:spacing w:before="262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872B11"/>
    <w:pPr>
      <w:spacing w:before="611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872B11"/>
    <w:pPr>
      <w:spacing w:before="100" w:beforeAutospacing="1" w:after="0" w:line="32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872B11"/>
    <w:pPr>
      <w:spacing w:before="100" w:beforeAutospacing="1" w:after="0" w:line="32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872B11"/>
    <w:pPr>
      <w:pBdr>
        <w:left w:val="single" w:sz="6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872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872B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872B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872B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872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872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872B11"/>
    <w:pPr>
      <w:spacing w:after="0" w:line="192" w:lineRule="atLeast"/>
      <w:ind w:left="17" w:right="17"/>
      <w:jc w:val="center"/>
    </w:pPr>
    <w:rPr>
      <w:rFonts w:ascii="Times New Roman" w:eastAsia="Times New Roman" w:hAnsi="Times New Roman" w:cs="Times New Roman"/>
      <w:color w:val="0075C5"/>
      <w:sz w:val="11"/>
      <w:szCs w:val="11"/>
    </w:rPr>
  </w:style>
  <w:style w:type="paragraph" w:customStyle="1" w:styleId="periodall1">
    <w:name w:val="periodall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randtotal1">
    <w:name w:val="grandtotal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26"/>
      <w:szCs w:val="26"/>
    </w:rPr>
  </w:style>
  <w:style w:type="paragraph" w:customStyle="1" w:styleId="organization1">
    <w:name w:val="organization1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872B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872B1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872B1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872B1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872B11"/>
    <w:pPr>
      <w:pBdr>
        <w:right w:val="single" w:sz="4" w:space="0" w:color="D0D6DB"/>
      </w:pBdr>
      <w:spacing w:before="100" w:beforeAutospacing="1" w:after="100" w:afterAutospacing="1" w:line="240" w:lineRule="auto"/>
      <w:ind w:right="7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872B11"/>
    <w:pPr>
      <w:spacing w:after="0" w:line="240" w:lineRule="auto"/>
      <w:ind w:left="1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872B11"/>
    <w:pPr>
      <w:spacing w:after="0" w:line="240" w:lineRule="auto"/>
      <w:ind w:left="1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872B11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872B11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872B11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872B1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872B11"/>
    <w:pPr>
      <w:spacing w:before="100" w:beforeAutospacing="1" w:after="100" w:afterAutospacing="1" w:line="209" w:lineRule="atLeast"/>
    </w:pPr>
    <w:rPr>
      <w:rFonts w:ascii="Times New Roman" w:eastAsia="Times New Roman" w:hAnsi="Times New Roman" w:cs="Times New Roman"/>
      <w:color w:val="E2E2E2"/>
      <w:sz w:val="14"/>
      <w:szCs w:val="14"/>
    </w:rPr>
  </w:style>
  <w:style w:type="paragraph" w:customStyle="1" w:styleId="ui-datepicker-next1">
    <w:name w:val="ui-datepicker-next1"/>
    <w:basedOn w:val="a"/>
    <w:rsid w:val="00872B11"/>
    <w:pPr>
      <w:spacing w:before="100" w:beforeAutospacing="1" w:after="100" w:afterAutospacing="1" w:line="209" w:lineRule="atLeast"/>
    </w:pPr>
    <w:rPr>
      <w:rFonts w:ascii="Times New Roman" w:eastAsia="Times New Roman" w:hAnsi="Times New Roman" w:cs="Times New Roman"/>
      <w:color w:val="E2E2E2"/>
      <w:sz w:val="14"/>
      <w:szCs w:val="14"/>
    </w:rPr>
  </w:style>
  <w:style w:type="paragraph" w:customStyle="1" w:styleId="ui-datepicker-prev2">
    <w:name w:val="ui-datepicker-prev2"/>
    <w:basedOn w:val="a"/>
    <w:rsid w:val="00872B11"/>
    <w:pPr>
      <w:shd w:val="clear" w:color="auto" w:fill="2B6CC6"/>
      <w:spacing w:before="100" w:beforeAutospacing="1" w:after="100" w:afterAutospacing="1" w:line="209" w:lineRule="atLeas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ui-datepicker-next2">
    <w:name w:val="ui-datepicker-next2"/>
    <w:basedOn w:val="a"/>
    <w:rsid w:val="00872B11"/>
    <w:pPr>
      <w:shd w:val="clear" w:color="auto" w:fill="2B6CC6"/>
      <w:spacing w:before="100" w:beforeAutospacing="1" w:after="100" w:afterAutospacing="1" w:line="209" w:lineRule="atLeas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ui-state-disabled1">
    <w:name w:val="ui-state-disabled1"/>
    <w:basedOn w:val="a"/>
    <w:rsid w:val="00872B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872B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872B11"/>
    <w:pPr>
      <w:spacing w:before="100" w:beforeAutospacing="1" w:after="100" w:afterAutospacing="1" w:line="227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872B11"/>
    <w:pPr>
      <w:shd w:val="clear" w:color="auto" w:fill="9D9DA4"/>
      <w:spacing w:before="100" w:beforeAutospacing="1" w:after="100" w:afterAutospacing="1" w:line="227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872B1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872B1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872B11"/>
  </w:style>
  <w:style w:type="character" w:customStyle="1" w:styleId="dynatree-icon1">
    <w:name w:val="dynatree-icon1"/>
    <w:basedOn w:val="a0"/>
    <w:rsid w:val="00872B11"/>
  </w:style>
  <w:style w:type="paragraph" w:customStyle="1" w:styleId="confirmdialogheader1">
    <w:name w:val="confirmdialogheader1"/>
    <w:basedOn w:val="a"/>
    <w:rsid w:val="00872B11"/>
    <w:pPr>
      <w:spacing w:before="100" w:beforeAutospacing="1" w:after="100" w:afterAutospacing="1" w:line="262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color w:val="333333"/>
      <w:sz w:val="12"/>
      <w:szCs w:val="12"/>
    </w:rPr>
  </w:style>
  <w:style w:type="paragraph" w:customStyle="1" w:styleId="confirmdialogbuttons1">
    <w:name w:val="confirmdialogbuttons1"/>
    <w:basedOn w:val="a"/>
    <w:rsid w:val="00872B11"/>
    <w:pPr>
      <w:spacing w:before="100" w:beforeAutospacing="1" w:after="100" w:afterAutospacing="1" w:line="22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872B1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8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872B11"/>
    <w:pPr>
      <w:shd w:val="clear" w:color="auto" w:fill="E5EFF6"/>
      <w:spacing w:after="0" w:line="192" w:lineRule="atLeast"/>
      <w:jc w:val="center"/>
    </w:pPr>
    <w:rPr>
      <w:rFonts w:ascii="Times New Roman" w:eastAsia="Times New Roman" w:hAnsi="Times New Roman" w:cs="Times New Roman"/>
      <w:color w:val="546D81"/>
      <w:sz w:val="11"/>
      <w:szCs w:val="11"/>
    </w:rPr>
  </w:style>
  <w:style w:type="paragraph" w:customStyle="1" w:styleId="jcarousel-item1">
    <w:name w:val="jcarousel-item1"/>
    <w:basedOn w:val="a"/>
    <w:rsid w:val="00872B11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872B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612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2017-03-10T04:48:00Z</cp:lastPrinted>
  <dcterms:created xsi:type="dcterms:W3CDTF">2017-03-09T07:03:00Z</dcterms:created>
  <dcterms:modified xsi:type="dcterms:W3CDTF">2017-03-10T04:48:00Z</dcterms:modified>
</cp:coreProperties>
</file>